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0" w:lineRule="exact"/>
        <w:jc w:val="center"/>
        <w:rPr>
          <w:rFonts w:ascii="仿宋" w:hAnsi="仿宋" w:eastAsia="仿宋" w:cs="仿宋"/>
          <w:b/>
          <w:bCs/>
          <w:color w:val="000000"/>
          <w:kern w:val="0"/>
          <w:sz w:val="32"/>
          <w:szCs w:val="32"/>
          <w:u w:color="000000"/>
        </w:rPr>
      </w:pPr>
      <w:bookmarkStart w:id="0" w:name="_GoBack"/>
      <w:r>
        <w:rPr>
          <w:rFonts w:hint="eastAsia" w:ascii="仿宋" w:hAnsi="仿宋" w:eastAsia="仿宋" w:cs="仿宋"/>
          <w:b/>
          <w:bCs/>
          <w:color w:val="000000"/>
          <w:kern w:val="0"/>
          <w:sz w:val="32"/>
          <w:szCs w:val="32"/>
          <w:u w:color="000000"/>
        </w:rPr>
        <w:t>澳门科技大学学期交换项目简介</w:t>
      </w:r>
    </w:p>
    <w:bookmarkEnd w:id="0"/>
    <w:p>
      <w:pPr>
        <w:widowControl/>
        <w:shd w:val="clear" w:color="auto" w:fill="FFFFFF"/>
        <w:spacing w:line="460" w:lineRule="exact"/>
        <w:jc w:val="left"/>
        <w:rPr>
          <w:rFonts w:ascii="仿宋" w:hAnsi="仿宋" w:eastAsia="仿宋" w:cs="仿宋"/>
          <w:color w:val="000000"/>
          <w:kern w:val="0"/>
          <w:sz w:val="28"/>
          <w:szCs w:val="28"/>
          <w:u w:color="000000"/>
        </w:rPr>
      </w:pPr>
    </w:p>
    <w:p>
      <w:pPr>
        <w:widowControl/>
        <w:shd w:val="clear" w:color="auto" w:fill="FFFFFF"/>
        <w:spacing w:line="460" w:lineRule="exact"/>
        <w:jc w:val="left"/>
        <w:rPr>
          <w:rFonts w:ascii="仿宋" w:hAnsi="仿宋" w:eastAsia="仿宋" w:cs="仿宋"/>
          <w:b/>
          <w:bCs/>
          <w:color w:val="000000"/>
          <w:kern w:val="0"/>
          <w:sz w:val="28"/>
          <w:szCs w:val="28"/>
          <w:u w:color="000000"/>
        </w:rPr>
      </w:pPr>
      <w:r>
        <w:rPr>
          <w:rFonts w:hint="eastAsia" w:ascii="仿宋" w:hAnsi="仿宋" w:eastAsia="仿宋" w:cs="仿宋"/>
          <w:b/>
          <w:bCs/>
          <w:color w:val="000000"/>
          <w:kern w:val="0"/>
          <w:sz w:val="28"/>
          <w:szCs w:val="28"/>
          <w:u w:color="000000"/>
        </w:rPr>
        <w:t>一、澳门科技大学简介</w:t>
      </w:r>
    </w:p>
    <w:p>
      <w:pPr>
        <w:widowControl/>
        <w:shd w:val="clear" w:color="auto" w:fill="FFFFFF"/>
        <w:spacing w:line="460" w:lineRule="exact"/>
        <w:ind w:firstLine="560" w:firstLineChars="200"/>
        <w:jc w:val="left"/>
        <w:rPr>
          <w:rFonts w:ascii="仿宋" w:hAnsi="仿宋" w:eastAsia="仿宋" w:cs="仿宋"/>
          <w:color w:val="000000"/>
          <w:kern w:val="0"/>
          <w:sz w:val="28"/>
          <w:szCs w:val="28"/>
          <w:u w:color="000000"/>
        </w:rPr>
      </w:pPr>
      <w:r>
        <w:rPr>
          <w:rFonts w:ascii="仿宋" w:hAnsi="仿宋" w:eastAsia="仿宋" w:cs="仿宋"/>
          <w:color w:val="000000"/>
          <w:kern w:val="0"/>
          <w:sz w:val="28"/>
          <w:szCs w:val="28"/>
          <w:u w:color="000000"/>
        </w:rPr>
        <w:t>作为</w:t>
      </w:r>
      <w:r>
        <w:rPr>
          <w:rFonts w:hint="eastAsia" w:ascii="仿宋" w:hAnsi="仿宋" w:eastAsia="仿宋" w:cs="仿宋"/>
          <w:color w:val="000000"/>
          <w:kern w:val="0"/>
          <w:sz w:val="28"/>
          <w:szCs w:val="28"/>
          <w:u w:color="000000"/>
        </w:rPr>
        <w:t>中国最年轻20强大学之一， 澳门科技大学在上海交通大学高等教育研究院世界一流大学研究中心和上海软科联合发布的“2021年中国两岸四地大学排名”中，位列第17位，连续6年保持澳门第1位。连续3年位列《泰晤士高等教育》2020年至2022年世界大学排名300强。澳门科技大学建校于2000年，大学拥有博士、硕士、学士三级学位授予权，设有十个学院及十多个科研院所，在校学生超过14000人，其中在校研究生约4700人。短短的20年间，澳门科技大学经过多元化跨越式发展，已成为澳门规模最大的综合型大学。大学位于东西方文化交汇的澳门。澳门独特的地域区位、“一国两制”的体制、“一个中心、一个平台”的发展定位，以及作为“一带一路”的重要节点，使其成为中国连接葡语国家和全球的独特纽带。</w:t>
      </w:r>
    </w:p>
    <w:p>
      <w:pPr>
        <w:widowControl/>
        <w:shd w:val="clear" w:color="auto" w:fill="FFFFFF"/>
        <w:spacing w:line="460" w:lineRule="exact"/>
        <w:jc w:val="left"/>
        <w:rPr>
          <w:rFonts w:ascii="仿宋" w:hAnsi="仿宋" w:eastAsia="仿宋" w:cs="仿宋"/>
          <w:color w:val="000000"/>
          <w:kern w:val="0"/>
          <w:sz w:val="28"/>
          <w:szCs w:val="28"/>
          <w:u w:color="000000"/>
        </w:rPr>
      </w:pPr>
    </w:p>
    <w:p>
      <w:pPr>
        <w:widowControl/>
        <w:shd w:val="clear" w:color="auto" w:fill="FFFFFF"/>
        <w:spacing w:line="460" w:lineRule="exact"/>
        <w:jc w:val="left"/>
        <w:rPr>
          <w:rFonts w:ascii="仿宋" w:hAnsi="仿宋" w:eastAsia="仿宋" w:cs="仿宋"/>
          <w:b/>
          <w:bCs/>
          <w:color w:val="000000"/>
          <w:kern w:val="0"/>
          <w:sz w:val="28"/>
          <w:szCs w:val="28"/>
          <w:u w:color="000000"/>
        </w:rPr>
      </w:pPr>
      <w:r>
        <w:rPr>
          <w:rFonts w:hint="eastAsia" w:ascii="仿宋" w:hAnsi="仿宋" w:eastAsia="仿宋" w:cs="仿宋"/>
          <w:b/>
          <w:bCs/>
          <w:color w:val="000000"/>
          <w:kern w:val="0"/>
          <w:sz w:val="28"/>
          <w:szCs w:val="28"/>
          <w:u w:color="000000"/>
        </w:rPr>
        <w:t>二、项目优势</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   </w:t>
      </w:r>
      <w:r>
        <w:rPr>
          <w:rFonts w:hint="eastAsia" w:ascii="仿宋" w:hAnsi="仿宋" w:eastAsia="仿宋" w:cs="仿宋"/>
          <w:b/>
          <w:bCs/>
          <w:color w:val="000000"/>
          <w:kern w:val="0"/>
          <w:sz w:val="28"/>
          <w:szCs w:val="28"/>
          <w:u w:color="000000"/>
        </w:rPr>
        <w:t> （一）项目可操作性强：</w:t>
      </w:r>
      <w:r>
        <w:rPr>
          <w:rFonts w:hint="eastAsia" w:ascii="仿宋" w:hAnsi="仿宋" w:eastAsia="仿宋" w:cs="仿宋"/>
          <w:color w:val="000000"/>
          <w:kern w:val="0"/>
          <w:sz w:val="28"/>
          <w:szCs w:val="28"/>
          <w:u w:color="000000"/>
        </w:rPr>
        <w:t>澳门科技大学位于我国澳门特别行政区，出入境手续办理相对简单，学校生活习惯与内地差异较小，学生更容易适应异地的学习生活。费用适中，项目接受度高。</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b/>
          <w:bCs/>
          <w:color w:val="000000"/>
          <w:kern w:val="0"/>
          <w:sz w:val="28"/>
          <w:szCs w:val="28"/>
          <w:u w:color="000000"/>
        </w:rPr>
        <w:t>   （二）项目含金量高：</w:t>
      </w:r>
      <w:r>
        <w:rPr>
          <w:rFonts w:hint="eastAsia" w:ascii="仿宋" w:hAnsi="仿宋" w:eastAsia="仿宋" w:cs="仿宋"/>
          <w:color w:val="000000"/>
          <w:kern w:val="0"/>
          <w:sz w:val="28"/>
          <w:szCs w:val="28"/>
          <w:u w:color="000000"/>
        </w:rPr>
        <w:t>插班上课，学生能真正融入课堂，感受名校学习氛围。全英文授课，学生能有效提高英语水平、专业知识能力和就业竞争力。专业设置齐全、与我校课程匹配度高。我校认可学生在澳门科技大学交流学习的学分。学生成绩合格可获得澳门科技大学颁发的相关证书，学生能提升留学背景，为申请国（境）外名校硕士研究生助力。</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 xml:space="preserve">   </w:t>
      </w:r>
      <w:r>
        <w:rPr>
          <w:rFonts w:hint="eastAsia" w:ascii="仿宋" w:hAnsi="仿宋" w:eastAsia="仿宋" w:cs="仿宋"/>
          <w:b/>
          <w:bCs/>
          <w:color w:val="000000"/>
          <w:kern w:val="0"/>
          <w:sz w:val="28"/>
          <w:szCs w:val="28"/>
          <w:u w:color="000000"/>
        </w:rPr>
        <w:t>（三）项目背景成熟：</w:t>
      </w:r>
      <w:r>
        <w:rPr>
          <w:rFonts w:hint="eastAsia" w:ascii="仿宋" w:hAnsi="仿宋" w:eastAsia="仿宋" w:cs="仿宋"/>
          <w:color w:val="000000"/>
          <w:kern w:val="0"/>
          <w:sz w:val="28"/>
          <w:szCs w:val="28"/>
          <w:u w:color="000000"/>
        </w:rPr>
        <w:t>澳门科技大学博雅学院作为该项目的执行部门，负责整个澳门科技大学的学生交流工作。该项目从2021年9月开始启动，已与南通大学、广东科技学院等多所高校签署合作协议并开展了实地交流，反响良好，项目经验丰富。我校已派出4名学生于2023年春季学期赴澳门科技大学交流学习。</w:t>
      </w:r>
    </w:p>
    <w:p>
      <w:pPr>
        <w:widowControl/>
        <w:shd w:val="clear" w:color="auto" w:fill="FFFFFF"/>
        <w:spacing w:line="460" w:lineRule="exact"/>
        <w:jc w:val="left"/>
        <w:rPr>
          <w:rFonts w:ascii="仿宋" w:hAnsi="仿宋" w:eastAsia="仿宋" w:cs="仿宋"/>
          <w:b/>
          <w:bCs/>
          <w:color w:val="000000"/>
          <w:kern w:val="0"/>
          <w:sz w:val="28"/>
          <w:szCs w:val="28"/>
          <w:u w:color="000000"/>
        </w:rPr>
      </w:pPr>
      <w:r>
        <w:rPr>
          <w:rFonts w:hint="eastAsia" w:ascii="仿宋" w:hAnsi="仿宋" w:eastAsia="仿宋" w:cs="仿宋"/>
          <w:b/>
          <w:bCs/>
          <w:color w:val="000000"/>
          <w:kern w:val="0"/>
          <w:sz w:val="28"/>
          <w:szCs w:val="28"/>
          <w:u w:color="000000"/>
        </w:rPr>
        <w:t>三、项目简介（插班就读一学期）</w:t>
      </w:r>
    </w:p>
    <w:p>
      <w:pPr>
        <w:widowControl/>
        <w:shd w:val="clear" w:color="auto" w:fill="FFFFFF"/>
        <w:spacing w:line="460" w:lineRule="exact"/>
        <w:jc w:val="left"/>
        <w:rPr>
          <w:rFonts w:ascii="仿宋" w:hAnsi="仿宋" w:eastAsia="仿宋" w:cs="仿宋"/>
          <w:b/>
          <w:bCs/>
          <w:color w:val="000000"/>
          <w:kern w:val="0"/>
          <w:sz w:val="28"/>
          <w:szCs w:val="28"/>
          <w:u w:color="000000"/>
        </w:rPr>
      </w:pPr>
      <w:r>
        <w:rPr>
          <w:rFonts w:hint="eastAsia" w:ascii="仿宋" w:hAnsi="仿宋" w:eastAsia="仿宋" w:cs="仿宋"/>
          <w:b/>
          <w:bCs/>
          <w:color w:val="000000"/>
          <w:kern w:val="0"/>
          <w:sz w:val="28"/>
          <w:szCs w:val="28"/>
          <w:u w:color="000000"/>
        </w:rPr>
        <w:t>（一）项目学习时间</w:t>
      </w:r>
    </w:p>
    <w:tbl>
      <w:tblPr>
        <w:tblStyle w:val="5"/>
        <w:tblW w:w="0" w:type="auto"/>
        <w:tblInd w:w="0" w:type="dxa"/>
        <w:shd w:val="clear" w:color="auto" w:fill="FFFFFF"/>
        <w:tblLayout w:type="autofit"/>
        <w:tblCellMar>
          <w:top w:w="0" w:type="dxa"/>
          <w:left w:w="0" w:type="dxa"/>
          <w:bottom w:w="0" w:type="dxa"/>
          <w:right w:w="0" w:type="dxa"/>
        </w:tblCellMar>
      </w:tblPr>
      <w:tblGrid>
        <w:gridCol w:w="825"/>
        <w:gridCol w:w="2550"/>
        <w:gridCol w:w="4635"/>
      </w:tblGrid>
      <w:tr>
        <w:tblPrEx>
          <w:shd w:val="clear" w:color="auto" w:fill="FFFFFF"/>
          <w:tblCellMar>
            <w:top w:w="0" w:type="dxa"/>
            <w:left w:w="0" w:type="dxa"/>
            <w:bottom w:w="0" w:type="dxa"/>
            <w:right w:w="0" w:type="dxa"/>
          </w:tblCellMar>
        </w:tblPrEx>
        <w:tc>
          <w:tcPr>
            <w:tcW w:w="8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left"/>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序号</w:t>
            </w:r>
          </w:p>
        </w:tc>
        <w:tc>
          <w:tcPr>
            <w:tcW w:w="718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ascii="仿宋" w:hAnsi="仿宋" w:eastAsia="仿宋" w:cs="仿宋"/>
                <w:color w:val="000000" w:themeColor="text1"/>
                <w:kern w:val="0"/>
                <w:sz w:val="28"/>
                <w:szCs w:val="28"/>
                <w:highlight w:val="none"/>
                <w:u w:color="000000"/>
                <w14:textFill>
                  <w14:solidFill>
                    <w14:schemeClr w14:val="tx1"/>
                  </w14:solidFill>
                </w14:textFill>
              </w:rPr>
              <w:t>2023</w:t>
            </w:r>
            <w:r>
              <w:rPr>
                <w:rFonts w:hint="eastAsia" w:ascii="仿宋" w:hAnsi="仿宋" w:eastAsia="仿宋" w:cs="仿宋"/>
                <w:color w:val="000000" w:themeColor="text1"/>
                <w:kern w:val="0"/>
                <w:sz w:val="28"/>
                <w:szCs w:val="28"/>
                <w:highlight w:val="none"/>
                <w:u w:color="000000"/>
                <w14:textFill>
                  <w14:solidFill>
                    <w14:schemeClr w14:val="tx1"/>
                  </w14:solidFill>
                </w14:textFill>
              </w:rPr>
              <w:t>/</w:t>
            </w:r>
            <w:r>
              <w:rPr>
                <w:rFonts w:ascii="仿宋" w:hAnsi="仿宋" w:eastAsia="仿宋" w:cs="仿宋"/>
                <w:color w:val="000000" w:themeColor="text1"/>
                <w:kern w:val="0"/>
                <w:sz w:val="28"/>
                <w:szCs w:val="28"/>
                <w:highlight w:val="none"/>
                <w:u w:color="000000"/>
                <w14:textFill>
                  <w14:solidFill>
                    <w14:schemeClr w14:val="tx1"/>
                  </w14:solidFill>
                </w14:textFill>
              </w:rPr>
              <w:t>2024</w:t>
            </w:r>
            <w:r>
              <w:rPr>
                <w:rFonts w:hint="eastAsia" w:ascii="仿宋" w:hAnsi="仿宋" w:eastAsia="仿宋" w:cs="仿宋"/>
                <w:color w:val="000000" w:themeColor="text1"/>
                <w:kern w:val="0"/>
                <w:sz w:val="28"/>
                <w:szCs w:val="28"/>
                <w:highlight w:val="none"/>
                <w:u w:color="000000"/>
                <w14:textFill>
                  <w14:solidFill>
                    <w14:schemeClr w14:val="tx1"/>
                  </w14:solidFill>
                </w14:textFill>
              </w:rPr>
              <w:t>学年「第一学期」</w:t>
            </w:r>
          </w:p>
        </w:tc>
      </w:tr>
      <w:tr>
        <w:tblPrEx>
          <w:tblCellMar>
            <w:top w:w="0" w:type="dxa"/>
            <w:left w:w="0" w:type="dxa"/>
            <w:bottom w:w="0" w:type="dxa"/>
            <w:right w:w="0" w:type="dxa"/>
          </w:tblCellMar>
        </w:tblPrEx>
        <w:tc>
          <w:tcPr>
            <w:tcW w:w="8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1</w:t>
            </w:r>
          </w:p>
        </w:tc>
        <w:tc>
          <w:tcPr>
            <w:tcW w:w="25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上课时间</w:t>
            </w:r>
          </w:p>
        </w:tc>
        <w:tc>
          <w:tcPr>
            <w:tcW w:w="463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5"/>
                <w:szCs w:val="25"/>
                <w:u w:color="000000"/>
                <w14:textFill>
                  <w14:solidFill>
                    <w14:schemeClr w14:val="tx1"/>
                  </w14:solidFill>
                </w14:textFill>
              </w:rPr>
              <w:t>2023年9月4日--2023年12月17日</w:t>
            </w:r>
          </w:p>
        </w:tc>
      </w:tr>
      <w:tr>
        <w:tblPrEx>
          <w:tblCellMar>
            <w:top w:w="0" w:type="dxa"/>
            <w:left w:w="0" w:type="dxa"/>
            <w:bottom w:w="0" w:type="dxa"/>
            <w:right w:w="0" w:type="dxa"/>
          </w:tblCellMar>
        </w:tblPrEx>
        <w:tc>
          <w:tcPr>
            <w:tcW w:w="8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2</w:t>
            </w:r>
          </w:p>
        </w:tc>
        <w:tc>
          <w:tcPr>
            <w:tcW w:w="25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复习</w:t>
            </w:r>
          </w:p>
        </w:tc>
        <w:tc>
          <w:tcPr>
            <w:tcW w:w="46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5"/>
                <w:szCs w:val="25"/>
                <w:u w:color="000000"/>
                <w14:textFill>
                  <w14:solidFill>
                    <w14:schemeClr w14:val="tx1"/>
                  </w14:solidFill>
                </w14:textFill>
              </w:rPr>
            </w:pPr>
            <w:r>
              <w:rPr>
                <w:rFonts w:hint="eastAsia" w:ascii="仿宋" w:hAnsi="仿宋" w:eastAsia="仿宋" w:cs="仿宋"/>
                <w:color w:val="000000" w:themeColor="text1"/>
                <w:kern w:val="0"/>
                <w:sz w:val="25"/>
                <w:szCs w:val="25"/>
                <w:u w:color="000000"/>
                <w14:textFill>
                  <w14:solidFill>
                    <w14:schemeClr w14:val="tx1"/>
                  </w14:solidFill>
                </w14:textFill>
              </w:rPr>
              <w:t>2023年12月18日--2023年12月27日</w:t>
            </w:r>
          </w:p>
        </w:tc>
      </w:tr>
      <w:tr>
        <w:tblPrEx>
          <w:tblCellMar>
            <w:top w:w="0" w:type="dxa"/>
            <w:left w:w="0" w:type="dxa"/>
            <w:bottom w:w="0" w:type="dxa"/>
            <w:right w:w="0" w:type="dxa"/>
          </w:tblCellMar>
        </w:tblPrEx>
        <w:tc>
          <w:tcPr>
            <w:tcW w:w="8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3</w:t>
            </w:r>
          </w:p>
        </w:tc>
        <w:tc>
          <w:tcPr>
            <w:tcW w:w="25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考试日期</w:t>
            </w:r>
          </w:p>
        </w:tc>
        <w:tc>
          <w:tcPr>
            <w:tcW w:w="46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5"/>
                <w:szCs w:val="25"/>
                <w:u w:color="000000"/>
                <w14:textFill>
                  <w14:solidFill>
                    <w14:schemeClr w14:val="tx1"/>
                  </w14:solidFill>
                </w14:textFill>
              </w:rPr>
            </w:pPr>
            <w:r>
              <w:rPr>
                <w:rFonts w:hint="eastAsia" w:ascii="仿宋" w:hAnsi="仿宋" w:eastAsia="仿宋" w:cs="仿宋"/>
                <w:color w:val="000000" w:themeColor="text1"/>
                <w:kern w:val="0"/>
                <w:sz w:val="25"/>
                <w:szCs w:val="25"/>
                <w:u w:color="000000"/>
                <w14:textFill>
                  <w14:solidFill>
                    <w14:schemeClr w14:val="tx1"/>
                  </w14:solidFill>
                </w14:textFill>
              </w:rPr>
              <w:t>2023年12月28日--2024年1月12日</w:t>
            </w:r>
          </w:p>
        </w:tc>
      </w:tr>
    </w:tbl>
    <w:p>
      <w:pPr>
        <w:widowControl/>
        <w:shd w:val="clear" w:color="auto" w:fill="FFFFFF"/>
        <w:spacing w:line="460" w:lineRule="exact"/>
        <w:jc w:val="left"/>
        <w:rPr>
          <w:rFonts w:ascii="仿宋" w:hAnsi="仿宋" w:eastAsia="仿宋" w:cs="仿宋"/>
          <w:b/>
          <w:bCs/>
          <w:color w:val="000000" w:themeColor="text1"/>
          <w:kern w:val="0"/>
          <w:sz w:val="28"/>
          <w:szCs w:val="28"/>
          <w:u w:color="000000"/>
          <w14:textFill>
            <w14:solidFill>
              <w14:schemeClr w14:val="tx1"/>
            </w14:solidFill>
          </w14:textFill>
        </w:rPr>
      </w:pPr>
      <w:r>
        <w:rPr>
          <w:rFonts w:hint="eastAsia" w:ascii="仿宋" w:hAnsi="仿宋" w:eastAsia="仿宋" w:cs="仿宋"/>
          <w:b/>
          <w:bCs/>
          <w:color w:val="000000" w:themeColor="text1"/>
          <w:kern w:val="0"/>
          <w:sz w:val="28"/>
          <w:szCs w:val="28"/>
          <w:u w:color="000000"/>
          <w14:textFill>
            <w14:solidFill>
              <w14:schemeClr w14:val="tx1"/>
            </w14:solidFill>
          </w14:textFill>
        </w:rPr>
        <w:t>（二）课程安排及选课要求</w:t>
      </w:r>
    </w:p>
    <w:p>
      <w:pPr>
        <w:widowControl/>
        <w:shd w:val="clear" w:color="auto" w:fill="FFFFFF"/>
        <w:spacing w:line="460" w:lineRule="exact"/>
        <w:jc w:val="left"/>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1. 学生交流学习一学期（2023年9月4日----2024年1月12日）；</w:t>
      </w:r>
    </w:p>
    <w:p>
      <w:pPr>
        <w:widowControl/>
        <w:shd w:val="clear" w:color="auto" w:fill="FFFFFF"/>
        <w:spacing w:line="460" w:lineRule="exact"/>
        <w:jc w:val="left"/>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2. 学生在开学前一个月收到可修读的科目表，需选修读不少于12个学分课程；</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3. 学生选定的课程，不可加选或退选，同时需由学生所在二级学院和澳门科技大学最终确认。</w:t>
      </w:r>
    </w:p>
    <w:p>
      <w:pPr>
        <w:widowControl/>
        <w:shd w:val="clear" w:color="auto" w:fill="FFFFFF"/>
        <w:spacing w:line="460" w:lineRule="exact"/>
        <w:jc w:val="left"/>
        <w:rPr>
          <w:rFonts w:ascii="仿宋" w:hAnsi="仿宋" w:eastAsia="仿宋" w:cs="仿宋"/>
          <w:b/>
          <w:bCs/>
          <w:color w:val="000000"/>
          <w:kern w:val="0"/>
          <w:sz w:val="28"/>
          <w:szCs w:val="28"/>
          <w:u w:color="000000"/>
        </w:rPr>
      </w:pPr>
      <w:r>
        <w:rPr>
          <w:rFonts w:hint="eastAsia" w:ascii="仿宋" w:hAnsi="仿宋" w:eastAsia="仿宋" w:cs="仿宋"/>
          <w:b/>
          <w:bCs/>
          <w:color w:val="000000"/>
          <w:kern w:val="0"/>
          <w:sz w:val="28"/>
          <w:szCs w:val="28"/>
          <w:u w:color="000000"/>
        </w:rPr>
        <w:t>（三）考勤制度</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1. 遵照澳门科技大学日程表及课程表按时到校上课、参加测验、考试及参与其他活动；</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2. 因病或因事不能上课，必须到交流生所在学院办理请假申请并补足所缺必修作业；</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3. 未经批准而擅自缺课者、一律按旷课处理；</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4. 维持每门科目达到 70% 出席率，凡缺课率（包括请假缺课及旷课）超过该科目总学时30% 时，不准参加期末考试，该课程成绩以零分计。</w:t>
      </w:r>
    </w:p>
    <w:p>
      <w:pPr>
        <w:widowControl/>
        <w:shd w:val="clear" w:color="auto" w:fill="FFFFFF"/>
        <w:spacing w:line="460" w:lineRule="exact"/>
        <w:jc w:val="left"/>
        <w:rPr>
          <w:rFonts w:ascii="仿宋" w:hAnsi="仿宋" w:eastAsia="仿宋" w:cs="仿宋"/>
          <w:b/>
          <w:bCs/>
          <w:color w:val="000000"/>
          <w:kern w:val="0"/>
          <w:sz w:val="28"/>
          <w:szCs w:val="28"/>
          <w:u w:color="000000"/>
        </w:rPr>
      </w:pPr>
      <w:r>
        <w:rPr>
          <w:rFonts w:hint="eastAsia" w:ascii="仿宋" w:hAnsi="仿宋" w:eastAsia="仿宋" w:cs="仿宋"/>
          <w:b/>
          <w:bCs/>
          <w:color w:val="000000"/>
          <w:kern w:val="0"/>
          <w:sz w:val="28"/>
          <w:szCs w:val="28"/>
          <w:u w:color="000000"/>
        </w:rPr>
        <w:t>（四）考试制度</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1. 参加所修课程的考试或考核；</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2. 遵守考试纪律；</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3. 如发现考试作弊或违反学术规范之行为，将按澳门科技大学和湖南文理学院的相关规定处理。</w:t>
      </w:r>
    </w:p>
    <w:p>
      <w:pPr>
        <w:widowControl/>
        <w:shd w:val="clear" w:color="auto" w:fill="FFFFFF"/>
        <w:spacing w:line="460" w:lineRule="exact"/>
        <w:jc w:val="left"/>
        <w:rPr>
          <w:rFonts w:ascii="仿宋" w:hAnsi="仿宋" w:eastAsia="仿宋" w:cs="仿宋"/>
          <w:color w:val="000000"/>
          <w:kern w:val="0"/>
          <w:sz w:val="28"/>
          <w:szCs w:val="28"/>
          <w:u w:color="000000"/>
        </w:rPr>
      </w:pPr>
    </w:p>
    <w:p>
      <w:pPr>
        <w:pStyle w:val="4"/>
        <w:widowControl/>
        <w:shd w:val="clear" w:color="auto" w:fill="FFFFFF"/>
        <w:spacing w:beforeAutospacing="0" w:afterAutospacing="0" w:line="460" w:lineRule="exact"/>
        <w:ind w:firstLine="480"/>
        <w:textAlignment w:val="baseline"/>
        <w:rPr>
          <w:rFonts w:ascii="微软雅黑" w:hAnsi="微软雅黑" w:eastAsia="微软雅黑" w:cs="微软雅黑"/>
          <w:color w:val="000000"/>
          <w:sz w:val="22"/>
          <w:szCs w:val="22"/>
          <w:shd w:val="clear" w:color="auto" w:fill="FFFFFF"/>
        </w:rPr>
      </w:pPr>
    </w:p>
    <w:p>
      <w:pPr>
        <w:pStyle w:val="4"/>
        <w:widowControl/>
        <w:shd w:val="clear" w:color="auto" w:fill="FFFFFF"/>
        <w:spacing w:beforeAutospacing="0" w:afterAutospacing="0" w:line="460" w:lineRule="exact"/>
        <w:ind w:firstLine="420"/>
        <w:textAlignment w:val="baseline"/>
        <w:rPr>
          <w:rFonts w:ascii="微软雅黑" w:hAnsi="微软雅黑" w:eastAsia="微软雅黑" w:cs="微软雅黑"/>
          <w:color w:val="000000"/>
          <w:sz w:val="22"/>
          <w:szCs w:val="22"/>
          <w:shd w:val="clear" w:color="auto" w:fill="FFFFFF"/>
        </w:rPr>
      </w:pPr>
    </w:p>
    <w:p>
      <w:pPr>
        <w:spacing w:line="460" w:lineRule="exact"/>
        <w:rPr>
          <w:rFonts w:ascii="微软雅黑" w:hAnsi="微软雅黑" w:eastAsia="微软雅黑" w:cs="微软雅黑"/>
          <w:color w:val="000000"/>
          <w:sz w:val="22"/>
          <w:szCs w:val="2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mYjM3YzE2MWM0MDgwMjExMDRlMDA3OTUyMGY0YTQifQ=="/>
  </w:docVars>
  <w:rsids>
    <w:rsidRoot w:val="077A383A"/>
    <w:rsid w:val="00694B9C"/>
    <w:rsid w:val="008F292D"/>
    <w:rsid w:val="00B11E6D"/>
    <w:rsid w:val="00B304A6"/>
    <w:rsid w:val="00B76925"/>
    <w:rsid w:val="077A383A"/>
    <w:rsid w:val="154716B1"/>
    <w:rsid w:val="165F0ED4"/>
    <w:rsid w:val="19816175"/>
    <w:rsid w:val="1E8F5E77"/>
    <w:rsid w:val="220529E0"/>
    <w:rsid w:val="27457ABB"/>
    <w:rsid w:val="27AC1848"/>
    <w:rsid w:val="2A2658E2"/>
    <w:rsid w:val="2EA77C8F"/>
    <w:rsid w:val="2FA25F7C"/>
    <w:rsid w:val="3528779F"/>
    <w:rsid w:val="3CFC0724"/>
    <w:rsid w:val="3FA0601D"/>
    <w:rsid w:val="48AB197C"/>
    <w:rsid w:val="54A22351"/>
    <w:rsid w:val="632C14B3"/>
    <w:rsid w:val="687014CD"/>
    <w:rsid w:val="723F2530"/>
    <w:rsid w:val="756764FA"/>
    <w:rsid w:val="76ED536C"/>
    <w:rsid w:val="7D545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194</Words>
  <Characters>1112</Characters>
  <Lines>9</Lines>
  <Paragraphs>2</Paragraphs>
  <TotalTime>17</TotalTime>
  <ScaleCrop>false</ScaleCrop>
  <LinksUpToDate>false</LinksUpToDate>
  <CharactersWithSpaces>1304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2022-10-15T00:46:00Z</dcterms:created>
  <dc:creator>Abner邓</dc:creator>
  <cp:lastModifiedBy>Abner邓</cp:lastModifiedBy>
  <dcterms:modified xsi:type="dcterms:W3CDTF">2023-04-23T00:24:59Z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23A42B50829D47C28E0DB1D0903237AB</vt:lpwstr>
  </property>
</Properties>
</file>